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F9" w:rsidRDefault="008803F9" w:rsidP="008803F9">
      <w:pPr>
        <w:spacing w:line="240" w:lineRule="atLeast"/>
        <w:jc w:val="right"/>
        <w:rPr>
          <w:b/>
          <w:sz w:val="20"/>
          <w:szCs w:val="20"/>
          <w:lang w:val="uk-UA"/>
        </w:rPr>
      </w:pPr>
      <w:r w:rsidRPr="00904EAE">
        <w:rPr>
          <w:b/>
          <w:sz w:val="20"/>
          <w:szCs w:val="20"/>
          <w:lang w:val="uk-UA"/>
        </w:rPr>
        <w:t xml:space="preserve">В ЗДІБД та на </w:t>
      </w:r>
      <w:proofErr w:type="spellStart"/>
      <w:r w:rsidRPr="00904EAE">
        <w:rPr>
          <w:b/>
          <w:sz w:val="20"/>
          <w:szCs w:val="20"/>
          <w:lang w:val="uk-UA"/>
        </w:rPr>
        <w:t>вебсайт</w:t>
      </w:r>
      <w:proofErr w:type="spellEnd"/>
    </w:p>
    <w:p w:rsidR="008803F9" w:rsidRPr="00124E1C" w:rsidRDefault="008803F9" w:rsidP="008803F9">
      <w:pPr>
        <w:spacing w:line="240" w:lineRule="atLeast"/>
        <w:jc w:val="center"/>
        <w:rPr>
          <w:sz w:val="20"/>
          <w:szCs w:val="20"/>
        </w:rPr>
      </w:pPr>
    </w:p>
    <w:p w:rsidR="008803F9" w:rsidRDefault="008803F9" w:rsidP="008803F9">
      <w:pPr>
        <w:spacing w:line="240" w:lineRule="atLeast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Шановні акціонери!</w:t>
      </w:r>
    </w:p>
    <w:p w:rsidR="008803F9" w:rsidRDefault="008803F9" w:rsidP="008803F9">
      <w:pPr>
        <w:spacing w:line="240" w:lineRule="atLeas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Приватне акціонерне товариство «</w:t>
      </w:r>
      <w:proofErr w:type="spellStart"/>
      <w:r>
        <w:rPr>
          <w:sz w:val="20"/>
          <w:szCs w:val="20"/>
          <w:lang w:val="uk-UA"/>
        </w:rPr>
        <w:t>Тернопіль-готель</w:t>
      </w:r>
      <w:proofErr w:type="spellEnd"/>
      <w:r>
        <w:rPr>
          <w:sz w:val="20"/>
          <w:szCs w:val="20"/>
          <w:lang w:val="uk-UA"/>
        </w:rPr>
        <w:t xml:space="preserve">» (надалі Товариство), місцезнаходження Товариства: </w:t>
      </w:r>
      <w:smartTag w:uri="urn:schemas-microsoft-com:office:smarttags" w:element="metricconverter">
        <w:smartTagPr>
          <w:attr w:name="ProductID" w:val="46001, м"/>
        </w:smartTagPr>
        <w:r>
          <w:rPr>
            <w:sz w:val="20"/>
            <w:szCs w:val="20"/>
            <w:lang w:val="uk-UA"/>
          </w:rPr>
          <w:t>46001, м</w:t>
        </w:r>
      </w:smartTag>
      <w:r>
        <w:rPr>
          <w:sz w:val="20"/>
          <w:szCs w:val="20"/>
          <w:lang w:val="uk-UA"/>
        </w:rPr>
        <w:t xml:space="preserve">. Тернопіль, вул. Замкова, 14, повідомляє про проведення річних загальних зборів акціонерів (надалі – Збори), які відбудуться </w:t>
      </w:r>
      <w:r w:rsidRPr="0017665B">
        <w:rPr>
          <w:sz w:val="20"/>
          <w:szCs w:val="20"/>
        </w:rPr>
        <w:t>28</w:t>
      </w:r>
      <w:r>
        <w:rPr>
          <w:sz w:val="20"/>
          <w:szCs w:val="20"/>
          <w:lang w:val="uk-UA"/>
        </w:rPr>
        <w:t xml:space="preserve"> квітня 20</w:t>
      </w:r>
      <w:r w:rsidRPr="0017665B">
        <w:rPr>
          <w:sz w:val="20"/>
          <w:szCs w:val="20"/>
        </w:rPr>
        <w:t>20</w:t>
      </w:r>
      <w:r>
        <w:rPr>
          <w:sz w:val="20"/>
          <w:szCs w:val="20"/>
          <w:lang w:val="uk-UA"/>
        </w:rPr>
        <w:t xml:space="preserve"> року об 11.00 год., за місцезнаходженням Товариства: м. Тернопіль, вул. Замкова, 14, в конференц-залі № 3, 3 поверх. Реєстрація акціонерів (їх представників) для участі у Зборах відбудеться 2</w:t>
      </w:r>
      <w:r w:rsidRPr="0017665B">
        <w:rPr>
          <w:sz w:val="20"/>
          <w:szCs w:val="20"/>
        </w:rPr>
        <w:t>8</w:t>
      </w:r>
      <w:r>
        <w:rPr>
          <w:sz w:val="20"/>
          <w:szCs w:val="20"/>
          <w:lang w:val="uk-UA"/>
        </w:rPr>
        <w:t xml:space="preserve"> квітня 20</w:t>
      </w:r>
      <w:r w:rsidRPr="0017665B">
        <w:rPr>
          <w:sz w:val="20"/>
          <w:szCs w:val="20"/>
        </w:rPr>
        <w:t>20</w:t>
      </w:r>
      <w:r>
        <w:rPr>
          <w:sz w:val="20"/>
          <w:szCs w:val="20"/>
          <w:lang w:val="uk-UA"/>
        </w:rPr>
        <w:t xml:space="preserve"> року, з 9.30 год. до 10.45 год., за місцем проведення Зборів. Перелік акціонерів, які мають право на участь у Зборах буде складатися станом на 24 годину </w:t>
      </w:r>
      <w:r w:rsidRPr="0017665B">
        <w:rPr>
          <w:sz w:val="20"/>
          <w:szCs w:val="20"/>
        </w:rPr>
        <w:t>22</w:t>
      </w:r>
      <w:r>
        <w:rPr>
          <w:sz w:val="20"/>
          <w:szCs w:val="20"/>
          <w:lang w:val="uk-UA"/>
        </w:rPr>
        <w:t>.04.20</w:t>
      </w:r>
      <w:r w:rsidRPr="0017665B">
        <w:rPr>
          <w:sz w:val="20"/>
          <w:szCs w:val="20"/>
        </w:rPr>
        <w:t>20</w:t>
      </w:r>
      <w:r>
        <w:rPr>
          <w:sz w:val="20"/>
          <w:szCs w:val="20"/>
          <w:lang w:val="uk-UA"/>
        </w:rPr>
        <w:t xml:space="preserve"> року.</w:t>
      </w:r>
    </w:p>
    <w:p w:rsidR="008803F9" w:rsidRDefault="008803F9" w:rsidP="008803F9">
      <w:pPr>
        <w:spacing w:line="240" w:lineRule="atLeast"/>
        <w:jc w:val="center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Проєкт</w:t>
      </w:r>
      <w:proofErr w:type="spellEnd"/>
      <w:r>
        <w:rPr>
          <w:sz w:val="20"/>
          <w:szCs w:val="20"/>
          <w:lang w:val="uk-UA"/>
        </w:rPr>
        <w:t xml:space="preserve"> порядку денного:</w:t>
      </w:r>
    </w:p>
    <w:p w:rsidR="008803F9" w:rsidRDefault="008803F9" w:rsidP="008803F9">
      <w:pPr>
        <w:spacing w:line="240" w:lineRule="atLeas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1. Обрання голови та членів лічильної комісії.</w:t>
      </w:r>
    </w:p>
    <w:p w:rsidR="008803F9" w:rsidRDefault="008803F9" w:rsidP="008803F9">
      <w:pPr>
        <w:spacing w:line="240" w:lineRule="atLeas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2. Прийняття рішень з питань порядку проведення Зборів.</w:t>
      </w:r>
    </w:p>
    <w:p w:rsidR="008803F9" w:rsidRDefault="008803F9" w:rsidP="008803F9">
      <w:pPr>
        <w:spacing w:line="240" w:lineRule="atLeas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3. Звіт голови правління про результати фінансово-господарської діяльності Товариства у 201</w:t>
      </w:r>
      <w:r w:rsidRPr="0017665B">
        <w:rPr>
          <w:sz w:val="20"/>
          <w:szCs w:val="20"/>
        </w:rPr>
        <w:t>9</w:t>
      </w:r>
      <w:r>
        <w:rPr>
          <w:sz w:val="20"/>
          <w:szCs w:val="20"/>
          <w:lang w:val="uk-UA"/>
        </w:rPr>
        <w:t xml:space="preserve"> році та прийняття рішення за наслідками розгляду. </w:t>
      </w:r>
    </w:p>
    <w:p w:rsidR="008803F9" w:rsidRDefault="008803F9" w:rsidP="008803F9">
      <w:pPr>
        <w:spacing w:line="240" w:lineRule="atLeas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4. Звіт Наглядової ради Товариства за 201</w:t>
      </w:r>
      <w:r w:rsidRPr="0017665B">
        <w:rPr>
          <w:sz w:val="20"/>
          <w:szCs w:val="20"/>
        </w:rPr>
        <w:t>9</w:t>
      </w:r>
      <w:r>
        <w:rPr>
          <w:sz w:val="20"/>
          <w:szCs w:val="20"/>
          <w:lang w:val="uk-UA"/>
        </w:rPr>
        <w:t xml:space="preserve"> рік та прийняття рішення за наслідками розгляду. </w:t>
      </w:r>
    </w:p>
    <w:p w:rsidR="008803F9" w:rsidRDefault="008803F9" w:rsidP="008803F9">
      <w:pPr>
        <w:spacing w:line="240" w:lineRule="atLeas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5. Затвердження річного звіту Товариства за 201</w:t>
      </w:r>
      <w:r w:rsidRPr="0017665B">
        <w:rPr>
          <w:sz w:val="20"/>
          <w:szCs w:val="20"/>
        </w:rPr>
        <w:t>9</w:t>
      </w:r>
      <w:r>
        <w:rPr>
          <w:sz w:val="20"/>
          <w:szCs w:val="20"/>
          <w:lang w:val="uk-UA"/>
        </w:rPr>
        <w:t xml:space="preserve"> рік.</w:t>
      </w:r>
    </w:p>
    <w:p w:rsidR="008803F9" w:rsidRDefault="008803F9" w:rsidP="008803F9">
      <w:pPr>
        <w:spacing w:line="240" w:lineRule="exac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6. Затвердження порядку розподілу прибутку за 201</w:t>
      </w:r>
      <w:r w:rsidRPr="0017665B">
        <w:rPr>
          <w:sz w:val="20"/>
          <w:szCs w:val="20"/>
        </w:rPr>
        <w:t>9</w:t>
      </w:r>
      <w:r>
        <w:rPr>
          <w:sz w:val="20"/>
          <w:szCs w:val="20"/>
          <w:lang w:val="uk-UA"/>
        </w:rPr>
        <w:t xml:space="preserve"> рік. </w:t>
      </w:r>
    </w:p>
    <w:p w:rsidR="008803F9" w:rsidRDefault="008803F9" w:rsidP="008803F9">
      <w:pPr>
        <w:spacing w:line="240" w:lineRule="exac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7. Припинення повноважень голови та членів Наглядової ради Товариства.</w:t>
      </w:r>
    </w:p>
    <w:p w:rsidR="008803F9" w:rsidRDefault="008803F9" w:rsidP="008803F9">
      <w:pPr>
        <w:spacing w:line="240" w:lineRule="exac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8. Обрання членів Наглядової ради Товариства.</w:t>
      </w:r>
    </w:p>
    <w:p w:rsidR="008803F9" w:rsidRPr="0017665B" w:rsidRDefault="008803F9" w:rsidP="008803F9">
      <w:pPr>
        <w:spacing w:line="240" w:lineRule="exac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9. Про укладення і затвердження умов цивільно-правових договорів з членами Наглядової ради Товариства, обрання уповноваженої особи для укладення відповідних договорів.</w:t>
      </w:r>
    </w:p>
    <w:p w:rsidR="008803F9" w:rsidRPr="00035D92" w:rsidRDefault="008803F9" w:rsidP="008803F9">
      <w:pPr>
        <w:spacing w:line="240" w:lineRule="exact"/>
        <w:jc w:val="both"/>
        <w:rPr>
          <w:color w:val="000000"/>
          <w:sz w:val="20"/>
          <w:szCs w:val="20"/>
        </w:rPr>
      </w:pPr>
      <w:proofErr w:type="spellStart"/>
      <w:r>
        <w:rPr>
          <w:sz w:val="20"/>
          <w:szCs w:val="20"/>
          <w:lang w:val="uk-UA"/>
        </w:rPr>
        <w:t>Проєкти</w:t>
      </w:r>
      <w:proofErr w:type="spellEnd"/>
      <w:r>
        <w:rPr>
          <w:sz w:val="20"/>
          <w:szCs w:val="20"/>
          <w:lang w:val="uk-UA"/>
        </w:rPr>
        <w:t xml:space="preserve"> рішень з питань </w:t>
      </w:r>
      <w:proofErr w:type="spellStart"/>
      <w:r>
        <w:rPr>
          <w:sz w:val="20"/>
          <w:szCs w:val="20"/>
          <w:lang w:val="uk-UA"/>
        </w:rPr>
        <w:t>проєкту</w:t>
      </w:r>
      <w:proofErr w:type="spellEnd"/>
      <w:r>
        <w:rPr>
          <w:sz w:val="20"/>
          <w:szCs w:val="20"/>
          <w:lang w:val="uk-UA"/>
        </w:rPr>
        <w:t xml:space="preserve"> порядку денного: 1. Обрати головою лічильної комісії Ткачик М.П., членами лічильної комісії </w:t>
      </w:r>
      <w:proofErr w:type="spellStart"/>
      <w:r>
        <w:rPr>
          <w:sz w:val="20"/>
          <w:szCs w:val="20"/>
          <w:lang w:val="uk-UA"/>
        </w:rPr>
        <w:t>Куземську</w:t>
      </w:r>
      <w:proofErr w:type="spellEnd"/>
      <w:r>
        <w:rPr>
          <w:sz w:val="20"/>
          <w:szCs w:val="20"/>
          <w:lang w:val="uk-UA"/>
        </w:rPr>
        <w:t xml:space="preserve"> Г.С., Олійника Є.Я. 2. Встановити наступний порядок (регламент) проведення Зборів: для доповідей з питань порядку денного надається до 15 хв., на виступ до 10 хв., на запитання і відповіді до 5 хв. Збори провести без перерви. 3. Затвердити звіт голови правління за підсумками фінансово-господарської діяльності Товариства у 2019 році. 4. Затвердити звіт Наглядової ради за 2019 рік. 5. Затвердити річний звіт Товариства за 2019 рік. 6. Направити отриманий чистий прибуток на збільшення власного капіталу та реалізацію інвестиційних </w:t>
      </w:r>
      <w:proofErr w:type="spellStart"/>
      <w:r>
        <w:rPr>
          <w:sz w:val="20"/>
          <w:szCs w:val="20"/>
          <w:lang w:val="uk-UA"/>
        </w:rPr>
        <w:t>проєктів</w:t>
      </w:r>
      <w:proofErr w:type="spellEnd"/>
      <w:r>
        <w:rPr>
          <w:sz w:val="20"/>
          <w:szCs w:val="20"/>
          <w:lang w:val="uk-UA"/>
        </w:rPr>
        <w:t xml:space="preserve">. Дивіденди за підсумками роботи в 2019 році не нараховувати і не виплачувати. 7. Припинити повноваження голови та членів Наглядової ради Товариства в складі: голова </w:t>
      </w:r>
      <w:proofErr w:type="spellStart"/>
      <w:r>
        <w:rPr>
          <w:sz w:val="20"/>
          <w:szCs w:val="20"/>
          <w:lang w:val="uk-UA"/>
        </w:rPr>
        <w:t>Кочерган</w:t>
      </w:r>
      <w:proofErr w:type="spellEnd"/>
      <w:r>
        <w:rPr>
          <w:sz w:val="20"/>
          <w:szCs w:val="20"/>
          <w:lang w:val="uk-UA"/>
        </w:rPr>
        <w:t xml:space="preserve"> Б.В., члени </w:t>
      </w:r>
      <w:proofErr w:type="spellStart"/>
      <w:r>
        <w:rPr>
          <w:sz w:val="20"/>
          <w:szCs w:val="20"/>
          <w:lang w:val="uk-UA"/>
        </w:rPr>
        <w:t>Горук</w:t>
      </w:r>
      <w:proofErr w:type="spellEnd"/>
      <w:r>
        <w:rPr>
          <w:sz w:val="20"/>
          <w:szCs w:val="20"/>
          <w:lang w:val="uk-UA"/>
        </w:rPr>
        <w:t xml:space="preserve"> А.З., Федько В.Г., </w:t>
      </w:r>
      <w:proofErr w:type="spellStart"/>
      <w:r>
        <w:rPr>
          <w:sz w:val="20"/>
          <w:szCs w:val="20"/>
          <w:lang w:val="uk-UA"/>
        </w:rPr>
        <w:t>Тичківська</w:t>
      </w:r>
      <w:proofErr w:type="spellEnd"/>
      <w:r>
        <w:rPr>
          <w:sz w:val="20"/>
          <w:szCs w:val="20"/>
          <w:lang w:val="uk-UA"/>
        </w:rPr>
        <w:t xml:space="preserve"> Ю.Б. 8. </w:t>
      </w:r>
      <w:r w:rsidRPr="00D8053A">
        <w:rPr>
          <w:sz w:val="20"/>
          <w:szCs w:val="20"/>
          <w:shd w:val="clear" w:color="auto" w:fill="FFFFFF" w:themeFill="background1"/>
          <w:lang w:val="uk-UA"/>
        </w:rPr>
        <w:t>Голосування з цього питання порядку денного здійснюватиметься шляхом кумулятивного голосування.</w:t>
      </w:r>
      <w:r>
        <w:rPr>
          <w:sz w:val="20"/>
          <w:szCs w:val="20"/>
          <w:lang w:val="uk-UA"/>
        </w:rPr>
        <w:t xml:space="preserve"> 9. Укласти та затвердити умови цивільно-правових угод з членами Наглядової ради Товариства. Уповноваженою особою для підписання відповідних договорів обрати голову правління Головка Станіслава Миколайовича. </w:t>
      </w:r>
    </w:p>
    <w:p w:rsidR="008803F9" w:rsidRDefault="008803F9" w:rsidP="008803F9">
      <w:pPr>
        <w:spacing w:line="240" w:lineRule="atLeas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Для участі у Зборах надаються документи – зокрема, паспорт (тощо), які ідентифікують особу акціонера (його представника), для участі представника акціонера – додатково документи, що підтверджують його повноваження (довіреність, оформлену згідно чинного законодавства). Для представників акціонерів - юридичних осіб необхідно пред’явити додатково документи, які підтверджують правомірність видачі довіреності особою (копія статуту акціонера-юридичної особи, копія рішення уповноваженого органу про призначення на посаду особи, яка видала довіреність, тощо); для керівників юридичних осіб – акціонерів, які діють без довіреності в інтересах юридичної особи - додатково документи, які підтверджують повноваження такої особи (копія статуту акціонера-юридичної особи, копія рішення уповноваженого органу, про призначення на посаду, тощо). </w:t>
      </w:r>
    </w:p>
    <w:p w:rsidR="008803F9" w:rsidRDefault="008803F9" w:rsidP="008803F9">
      <w:pPr>
        <w:spacing w:line="240" w:lineRule="atLeas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 час голосування на Зборах представник повинен голосувати саме так, як передбачено завданням щодо голосування в довіреності. Якщо довіреність не містить завдання щодо голосування, представник вирішує всі питання щодо голосування на Зборах на свій розсуд.</w:t>
      </w:r>
    </w:p>
    <w:p w:rsidR="008803F9" w:rsidRDefault="008803F9" w:rsidP="008803F9">
      <w:pPr>
        <w:spacing w:line="240" w:lineRule="atLeas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дати надіслання повідомлення про проведення Зборів до дати проведення Зборів акціонери мають право ознайомитись з документами, необхідними для прийняття рішень з питань </w:t>
      </w:r>
      <w:proofErr w:type="spellStart"/>
      <w:r>
        <w:rPr>
          <w:sz w:val="20"/>
          <w:szCs w:val="20"/>
          <w:lang w:val="uk-UA"/>
        </w:rPr>
        <w:t>проєкту</w:t>
      </w:r>
      <w:proofErr w:type="spellEnd"/>
      <w:r>
        <w:rPr>
          <w:sz w:val="20"/>
          <w:szCs w:val="20"/>
          <w:lang w:val="uk-UA"/>
        </w:rPr>
        <w:t xml:space="preserve"> порядку денного особисто, за письмовою заявою, за місцезнаходженням Товариства: 46001, м. Тернопіль, вул. Замкова, 14, в приймальній голови правління, у день проведення Зборів – у місці їх проведення, звертатись до відповідальної особи - голови правління Товариства Головка С.М. </w:t>
      </w:r>
    </w:p>
    <w:p w:rsidR="008803F9" w:rsidRDefault="008803F9" w:rsidP="008803F9">
      <w:pPr>
        <w:spacing w:line="240" w:lineRule="atLeas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Кожний акціонер має право внести пропозиції щодо питань, включених до </w:t>
      </w:r>
      <w:proofErr w:type="spellStart"/>
      <w:r>
        <w:rPr>
          <w:sz w:val="20"/>
          <w:szCs w:val="20"/>
          <w:lang w:val="uk-UA"/>
        </w:rPr>
        <w:t>проєкту</w:t>
      </w:r>
      <w:proofErr w:type="spellEnd"/>
      <w:r>
        <w:rPr>
          <w:sz w:val="20"/>
          <w:szCs w:val="20"/>
          <w:lang w:val="uk-UA"/>
        </w:rPr>
        <w:t xml:space="preserve"> порядку денного Зборів, а також щодо нових кандидатів до складу органів товариства, кількість яких не може перевищувати кількісного складу кожного з органів.</w:t>
      </w:r>
    </w:p>
    <w:p w:rsidR="008803F9" w:rsidRDefault="008803F9" w:rsidP="008803F9">
      <w:pPr>
        <w:spacing w:line="240" w:lineRule="atLeas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Пропозиції вносяться не пізніше ніж за 20 днів до дати проведення Зборів. Пропозиції щодо включення нових питань до </w:t>
      </w:r>
      <w:proofErr w:type="spellStart"/>
      <w:r>
        <w:rPr>
          <w:sz w:val="20"/>
          <w:szCs w:val="20"/>
          <w:lang w:val="uk-UA"/>
        </w:rPr>
        <w:t>проєкту</w:t>
      </w:r>
      <w:proofErr w:type="spellEnd"/>
      <w:r>
        <w:rPr>
          <w:sz w:val="20"/>
          <w:szCs w:val="20"/>
          <w:lang w:val="uk-UA"/>
        </w:rPr>
        <w:t xml:space="preserve"> порядку денного повинні містити відповідні </w:t>
      </w:r>
      <w:proofErr w:type="spellStart"/>
      <w:r>
        <w:rPr>
          <w:sz w:val="20"/>
          <w:szCs w:val="20"/>
          <w:lang w:val="uk-UA"/>
        </w:rPr>
        <w:t>проєкти</w:t>
      </w:r>
      <w:proofErr w:type="spellEnd"/>
      <w:r>
        <w:rPr>
          <w:sz w:val="20"/>
          <w:szCs w:val="20"/>
          <w:lang w:val="uk-UA"/>
        </w:rPr>
        <w:t xml:space="preserve"> рішень з цих питань. </w:t>
      </w:r>
    </w:p>
    <w:p w:rsidR="008803F9" w:rsidRDefault="008803F9" w:rsidP="008803F9">
      <w:pPr>
        <w:spacing w:line="240" w:lineRule="atLeas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Акціонер має право оскарження до суду рішення Товариства про відмову у включенні його пропозицій до </w:t>
      </w:r>
      <w:proofErr w:type="spellStart"/>
      <w:r>
        <w:rPr>
          <w:sz w:val="20"/>
          <w:szCs w:val="20"/>
          <w:lang w:val="uk-UA"/>
        </w:rPr>
        <w:t>проєкту</w:t>
      </w:r>
      <w:proofErr w:type="spellEnd"/>
      <w:r>
        <w:rPr>
          <w:sz w:val="20"/>
          <w:szCs w:val="20"/>
          <w:lang w:val="uk-UA"/>
        </w:rPr>
        <w:t xml:space="preserve"> порядку денного та надавати письмові запитання щодо питань включених до </w:t>
      </w:r>
      <w:proofErr w:type="spellStart"/>
      <w:r>
        <w:rPr>
          <w:sz w:val="20"/>
          <w:szCs w:val="20"/>
          <w:lang w:val="uk-UA"/>
        </w:rPr>
        <w:t>проєкту</w:t>
      </w:r>
      <w:proofErr w:type="spellEnd"/>
      <w:r>
        <w:rPr>
          <w:sz w:val="20"/>
          <w:szCs w:val="20"/>
          <w:lang w:val="uk-UA"/>
        </w:rPr>
        <w:t xml:space="preserve"> порядку денного Зборів.</w:t>
      </w:r>
    </w:p>
    <w:p w:rsidR="008803F9" w:rsidRDefault="008803F9" w:rsidP="008803F9">
      <w:pPr>
        <w:spacing w:line="240" w:lineRule="atLeas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Станом на 04.03.2020р., дату складання переліку осіб, яким надсилається повідомлення про проведення Зборів, загальна кількість акцій складає 5842908 шт., голосуючих акцій – 4870124 шт. </w:t>
      </w:r>
    </w:p>
    <w:p w:rsidR="008803F9" w:rsidRDefault="008803F9" w:rsidP="008803F9">
      <w:pPr>
        <w:spacing w:line="240" w:lineRule="atLeas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Адреса </w:t>
      </w:r>
      <w:proofErr w:type="spellStart"/>
      <w:r>
        <w:rPr>
          <w:sz w:val="20"/>
          <w:szCs w:val="20"/>
          <w:lang w:val="uk-UA"/>
        </w:rPr>
        <w:t>вебсайту</w:t>
      </w:r>
      <w:proofErr w:type="spellEnd"/>
      <w:r>
        <w:rPr>
          <w:sz w:val="20"/>
          <w:szCs w:val="20"/>
          <w:lang w:val="uk-UA"/>
        </w:rPr>
        <w:t xml:space="preserve"> Товариства, на якому розміщена інформація з </w:t>
      </w:r>
      <w:proofErr w:type="spellStart"/>
      <w:r>
        <w:rPr>
          <w:sz w:val="20"/>
          <w:szCs w:val="20"/>
          <w:lang w:val="uk-UA"/>
        </w:rPr>
        <w:t>проєктами</w:t>
      </w:r>
      <w:proofErr w:type="spellEnd"/>
      <w:r>
        <w:rPr>
          <w:sz w:val="20"/>
          <w:szCs w:val="20"/>
          <w:lang w:val="uk-UA"/>
        </w:rPr>
        <w:t xml:space="preserve"> рішень щодо кожного з питань, включених до </w:t>
      </w:r>
      <w:proofErr w:type="spellStart"/>
      <w:r>
        <w:rPr>
          <w:sz w:val="20"/>
          <w:szCs w:val="20"/>
          <w:lang w:val="uk-UA"/>
        </w:rPr>
        <w:t>проєкту</w:t>
      </w:r>
      <w:proofErr w:type="spellEnd"/>
      <w:r>
        <w:rPr>
          <w:sz w:val="20"/>
          <w:szCs w:val="20"/>
          <w:lang w:val="uk-UA"/>
        </w:rPr>
        <w:t xml:space="preserve"> порядку денного: </w:t>
      </w:r>
      <w:proofErr w:type="spellStart"/>
      <w:r>
        <w:rPr>
          <w:sz w:val="20"/>
          <w:szCs w:val="20"/>
          <w:lang w:val="uk-UA"/>
        </w:rPr>
        <w:t>ternopilhotel.pat.ua</w:t>
      </w:r>
      <w:proofErr w:type="spellEnd"/>
    </w:p>
    <w:p w:rsidR="008803F9" w:rsidRDefault="008803F9" w:rsidP="008803F9">
      <w:pPr>
        <w:spacing w:line="240" w:lineRule="atLeas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Телефон для довідок: (0352) 43-00-51. </w:t>
      </w:r>
    </w:p>
    <w:p w:rsidR="008803F9" w:rsidRPr="00FD4899" w:rsidRDefault="008803F9" w:rsidP="008803F9">
      <w:pPr>
        <w:spacing w:line="240" w:lineRule="atLeast"/>
        <w:jc w:val="both"/>
        <w:rPr>
          <w:sz w:val="20"/>
          <w:szCs w:val="20"/>
          <w:lang w:val="uk-UA"/>
        </w:rPr>
      </w:pPr>
      <w:r w:rsidRPr="00FD4899">
        <w:rPr>
          <w:sz w:val="20"/>
          <w:szCs w:val="20"/>
          <w:lang w:val="uk-UA"/>
        </w:rPr>
        <w:t>Основні показники фінансово-господарської діяльності підприємства (тис. грн.)*</w:t>
      </w:r>
    </w:p>
    <w:tbl>
      <w:tblPr>
        <w:tblW w:w="0" w:type="auto"/>
        <w:tblInd w:w="8" w:type="dxa"/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6424"/>
        <w:gridCol w:w="1562"/>
        <w:gridCol w:w="1651"/>
      </w:tblGrid>
      <w:tr w:rsidR="008803F9" w:rsidRPr="00FD4899" w:rsidTr="00AD400E">
        <w:trPr>
          <w:trHeight w:val="259"/>
        </w:trPr>
        <w:tc>
          <w:tcPr>
            <w:tcW w:w="64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8803F9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FD4899">
              <w:rPr>
                <w:sz w:val="20"/>
                <w:szCs w:val="20"/>
                <w:lang w:val="uk-UA"/>
              </w:rPr>
              <w:lastRenderedPageBreak/>
              <w:t>Найменування показника</w:t>
            </w:r>
          </w:p>
        </w:tc>
        <w:tc>
          <w:tcPr>
            <w:tcW w:w="32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8803F9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FD4899">
              <w:rPr>
                <w:sz w:val="20"/>
                <w:szCs w:val="20"/>
                <w:lang w:val="uk-UA"/>
              </w:rPr>
              <w:t>Період</w:t>
            </w:r>
          </w:p>
        </w:tc>
      </w:tr>
      <w:tr w:rsidR="008803F9" w:rsidRPr="00FD4899" w:rsidTr="00AD400E">
        <w:trPr>
          <w:trHeight w:val="327"/>
        </w:trPr>
        <w:tc>
          <w:tcPr>
            <w:tcW w:w="64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803F9" w:rsidRPr="00FD4899" w:rsidRDefault="008803F9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8803F9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</w:p>
          <w:p w:rsidR="008803F9" w:rsidRPr="00FD4899" w:rsidRDefault="008803F9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FD4899">
              <w:rPr>
                <w:sz w:val="20"/>
                <w:szCs w:val="20"/>
                <w:lang w:val="uk-UA"/>
              </w:rPr>
              <w:t>2019 р.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8803F9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</w:p>
          <w:p w:rsidR="008803F9" w:rsidRPr="00FD4899" w:rsidRDefault="008803F9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FD4899">
              <w:rPr>
                <w:sz w:val="20"/>
                <w:szCs w:val="20"/>
                <w:lang w:val="uk-UA"/>
              </w:rPr>
              <w:t>2018 р.</w:t>
            </w:r>
          </w:p>
        </w:tc>
      </w:tr>
      <w:tr w:rsidR="008803F9" w:rsidRPr="00FD4899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8803F9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FD4899">
              <w:rPr>
                <w:sz w:val="20"/>
                <w:szCs w:val="20"/>
                <w:lang w:val="uk-UA"/>
              </w:rPr>
              <w:t>Усього активів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36532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35957</w:t>
            </w:r>
          </w:p>
        </w:tc>
      </w:tr>
      <w:tr w:rsidR="008803F9" w:rsidRPr="00FD4899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8803F9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FD4899">
              <w:rPr>
                <w:sz w:val="20"/>
                <w:szCs w:val="20"/>
                <w:lang w:val="uk-UA"/>
              </w:rPr>
              <w:t>Основні засоби (за залишковою вартістю)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22846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20708</w:t>
            </w:r>
          </w:p>
        </w:tc>
      </w:tr>
      <w:tr w:rsidR="008803F9" w:rsidRPr="00FD4899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8803F9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FD4899">
              <w:rPr>
                <w:sz w:val="20"/>
                <w:szCs w:val="20"/>
                <w:lang w:val="uk-UA"/>
              </w:rPr>
              <w:t>Запаси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308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379</w:t>
            </w:r>
          </w:p>
        </w:tc>
      </w:tr>
      <w:tr w:rsidR="008803F9" w:rsidRPr="00FD4899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8803F9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FD4899">
              <w:rPr>
                <w:sz w:val="20"/>
                <w:szCs w:val="20"/>
                <w:lang w:val="uk-UA"/>
              </w:rPr>
              <w:t>Сумарна дебіторська заборгованість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7625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8375</w:t>
            </w:r>
          </w:p>
        </w:tc>
      </w:tr>
      <w:tr w:rsidR="008803F9" w:rsidRPr="00FD4899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8803F9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FD4899">
              <w:rPr>
                <w:sz w:val="20"/>
                <w:szCs w:val="20"/>
                <w:lang w:val="uk-UA"/>
              </w:rPr>
              <w:t>Гроші та їх еквіваленти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394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939</w:t>
            </w:r>
          </w:p>
        </w:tc>
      </w:tr>
      <w:tr w:rsidR="008803F9" w:rsidRPr="00FD4899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8803F9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FD4899">
              <w:rPr>
                <w:sz w:val="20"/>
                <w:szCs w:val="20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15240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15120</w:t>
            </w:r>
          </w:p>
        </w:tc>
      </w:tr>
      <w:tr w:rsidR="008803F9" w:rsidRPr="00FD4899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8803F9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FD4899">
              <w:rPr>
                <w:sz w:val="20"/>
                <w:szCs w:val="20"/>
                <w:lang w:val="uk-UA"/>
              </w:rPr>
              <w:t>Власний капітал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22585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22465</w:t>
            </w:r>
          </w:p>
        </w:tc>
      </w:tr>
      <w:tr w:rsidR="008803F9" w:rsidRPr="00FD4899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8803F9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FD4899">
              <w:rPr>
                <w:sz w:val="20"/>
                <w:szCs w:val="20"/>
                <w:lang w:val="uk-UA"/>
              </w:rPr>
              <w:t>Зареєстрований (пайовий/статутний) капітал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1461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1461</w:t>
            </w:r>
          </w:p>
        </w:tc>
      </w:tr>
      <w:tr w:rsidR="008803F9" w:rsidRPr="00FD4899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8803F9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FD4899">
              <w:rPr>
                <w:sz w:val="20"/>
                <w:szCs w:val="20"/>
                <w:lang w:val="uk-UA"/>
              </w:rPr>
              <w:t>Довгострокові зобов'язання і забезпечення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449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237</w:t>
            </w:r>
          </w:p>
        </w:tc>
      </w:tr>
      <w:tr w:rsidR="008803F9" w:rsidRPr="00FD4899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8803F9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FD4899">
              <w:rPr>
                <w:sz w:val="20"/>
                <w:szCs w:val="20"/>
                <w:lang w:val="uk-UA"/>
              </w:rPr>
              <w:t>Поточні зобов'язання і забезпечення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13498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13255</w:t>
            </w:r>
          </w:p>
        </w:tc>
      </w:tr>
      <w:tr w:rsidR="008803F9" w:rsidRPr="00FD4899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8803F9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FD4899">
              <w:rPr>
                <w:sz w:val="20"/>
                <w:szCs w:val="20"/>
                <w:lang w:val="uk-UA"/>
              </w:rPr>
              <w:t>Чистий фінансовий результат : прибуток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D4899">
              <w:rPr>
                <w:sz w:val="20"/>
                <w:szCs w:val="20"/>
                <w:lang w:val="uk-UA"/>
              </w:rPr>
              <w:t>(збиток)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1981</w:t>
            </w:r>
          </w:p>
        </w:tc>
      </w:tr>
      <w:tr w:rsidR="008803F9" w:rsidRPr="00FD4899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8803F9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FD4899">
              <w:rPr>
                <w:sz w:val="20"/>
                <w:szCs w:val="20"/>
                <w:lang w:val="uk-UA"/>
              </w:rPr>
              <w:t>Середньорічна кількість акцій (шт.)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5842908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5842908</w:t>
            </w:r>
          </w:p>
        </w:tc>
      </w:tr>
      <w:tr w:rsidR="008803F9" w:rsidRPr="00FD4899" w:rsidTr="00AD400E">
        <w:tc>
          <w:tcPr>
            <w:tcW w:w="6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8803F9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FD4899">
              <w:rPr>
                <w:sz w:val="20"/>
                <w:szCs w:val="20"/>
                <w:lang w:val="uk-UA"/>
              </w:rPr>
              <w:t>Чистий прибуток (збиток) на одну просту акцію (грн.)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803F9" w:rsidRPr="00FD4899" w:rsidRDefault="00D8053A" w:rsidP="00AD400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0,34</w:t>
            </w:r>
            <w:bookmarkStart w:id="0" w:name="_GoBack"/>
            <w:bookmarkEnd w:id="0"/>
          </w:p>
        </w:tc>
      </w:tr>
    </w:tbl>
    <w:p w:rsidR="008803F9" w:rsidRDefault="008803F9" w:rsidP="008803F9">
      <w:pPr>
        <w:spacing w:line="240" w:lineRule="atLeast"/>
        <w:jc w:val="both"/>
        <w:rPr>
          <w:sz w:val="20"/>
          <w:szCs w:val="20"/>
          <w:lang w:val="uk-UA"/>
        </w:rPr>
      </w:pPr>
    </w:p>
    <w:p w:rsidR="008803F9" w:rsidRDefault="008803F9" w:rsidP="008803F9">
      <w:pPr>
        <w:spacing w:line="240" w:lineRule="atLeas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Наглядова рада Товариства.</w:t>
      </w:r>
    </w:p>
    <w:p w:rsidR="009858BA" w:rsidRPr="008803F9" w:rsidRDefault="009858BA" w:rsidP="008803F9"/>
    <w:sectPr w:rsidR="009858BA" w:rsidRPr="008803F9" w:rsidSect="002B24A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EF"/>
    <w:rsid w:val="00035D92"/>
    <w:rsid w:val="000B0723"/>
    <w:rsid w:val="0017665B"/>
    <w:rsid w:val="002B24A2"/>
    <w:rsid w:val="00737AEF"/>
    <w:rsid w:val="008803F9"/>
    <w:rsid w:val="009858BA"/>
    <w:rsid w:val="00B154A9"/>
    <w:rsid w:val="00D8053A"/>
    <w:rsid w:val="00E234CE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A2"/>
    <w:pPr>
      <w:suppressAutoHyphens/>
      <w:spacing w:after="0" w:line="240" w:lineRule="auto"/>
    </w:pPr>
    <w:rPr>
      <w:rFonts w:ascii="Times New Roman" w:eastAsia="MS Mincho" w:hAnsi="Times New Roman" w:cs="Times New Roman"/>
      <w:kern w:val="2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A2"/>
    <w:pPr>
      <w:suppressAutoHyphens/>
      <w:spacing w:after="0" w:line="240" w:lineRule="auto"/>
    </w:pPr>
    <w:rPr>
      <w:rFonts w:ascii="Times New Roman" w:eastAsia="MS Mincho" w:hAnsi="Times New Roman" w:cs="Times New Roman"/>
      <w:kern w:val="2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3801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Vips</cp:lastModifiedBy>
  <cp:revision>4</cp:revision>
  <dcterms:created xsi:type="dcterms:W3CDTF">2020-03-11T10:53:00Z</dcterms:created>
  <dcterms:modified xsi:type="dcterms:W3CDTF">2020-03-12T15:01:00Z</dcterms:modified>
</cp:coreProperties>
</file>